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666E65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2304E9">
              <w:t>31</w:t>
            </w:r>
            <w:r w:rsidRPr="006E5ACF">
              <w:t>»</w:t>
            </w:r>
            <w:r>
              <w:t xml:space="preserve"> </w:t>
            </w:r>
            <w:r w:rsidR="002304E9">
              <w:t>серпня</w:t>
            </w:r>
            <w:r>
              <w:t>/</w:t>
            </w:r>
            <w:r w:rsidRPr="006E5ACF">
              <w:t>20</w:t>
            </w:r>
            <w:r>
              <w:t>1</w:t>
            </w:r>
            <w:r w:rsidR="00666E65">
              <w:t>8</w:t>
            </w:r>
            <w:r w:rsidRPr="006E5ACF">
              <w:t>року</w:t>
            </w:r>
          </w:p>
        </w:tc>
      </w:tr>
    </w:tbl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AA204B" w:rsidRPr="00AA204B">
        <w:rPr>
          <w:sz w:val="28"/>
          <w:szCs w:val="28"/>
        </w:rPr>
        <w:t>Сертифікація</w:t>
      </w:r>
      <w:r w:rsidR="00AA204B">
        <w:rPr>
          <w:sz w:val="28"/>
          <w:szCs w:val="28"/>
        </w:rPr>
        <w:t xml:space="preserve"> та ліцензування на автомобільному транспорті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16396"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A63728">
            <w:r>
              <w:t>3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>
              <w:t>90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2A7741" w:rsidP="004762A7">
            <w:r>
              <w:t>5</w:t>
            </w:r>
            <w:r w:rsidR="00680664" w:rsidRPr="00B92F53">
              <w:t>-й семестр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2A7741">
        <w:t>к.т.н., доц. Крівда В.В., ст. викл. Ходос О.Г.</w:t>
      </w:r>
      <w:r w:rsidRPr="006E5ACF">
        <w:t xml:space="preserve"> 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2304E9">
        <w:rPr>
          <w:bCs/>
          <w:sz w:val="28"/>
          <w:szCs w:val="28"/>
        </w:rPr>
        <w:t>8</w:t>
      </w:r>
      <w:r w:rsidR="0011654A">
        <w:rPr>
          <w:bCs/>
          <w:sz w:val="28"/>
          <w:szCs w:val="28"/>
        </w:rPr>
        <w:t>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2A7741" w:rsidRPr="00AA204B">
        <w:rPr>
          <w:sz w:val="28"/>
          <w:szCs w:val="28"/>
        </w:rPr>
        <w:t>Сертифікація</w:t>
      </w:r>
      <w:r w:rsidR="002A7741">
        <w:rPr>
          <w:sz w:val="28"/>
          <w:szCs w:val="28"/>
        </w:rPr>
        <w:t xml:space="preserve"> та ліцензування на автомобільному транспорті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666E65">
        <w:rPr>
          <w:b w:val="0"/>
          <w:sz w:val="28"/>
          <w:szCs w:val="28"/>
        </w:rPr>
        <w:t>8</w:t>
      </w:r>
      <w:bookmarkStart w:id="0" w:name="_GoBack"/>
      <w:bookmarkEnd w:id="0"/>
      <w:r w:rsidRPr="00D857BB">
        <w:rPr>
          <w:b w:val="0"/>
          <w:sz w:val="28"/>
          <w:szCs w:val="28"/>
        </w:rPr>
        <w:t>. – 1</w:t>
      </w:r>
      <w:r w:rsidR="007F0ACE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7F0ACE">
        <w:rPr>
          <w:sz w:val="28"/>
          <w:szCs w:val="28"/>
        </w:rPr>
        <w:t>Крівда В.В.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666E65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2304E9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bookmarkStart w:id="3" w:name="_Hlk497473763"/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аналізувати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6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знання найпростіших методик автотехнічної та автотоварознавчої експертизи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8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знання порядку та процедури ліцензування та сертифікації на автомобільному транспорті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9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методи та засоби діагностування основних агрегатів, вузлів та систем автомобіля та контролювати відповідності їх технічного стану до вимог безпеки та екологічної безпеки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оцінювати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підготовлювати звіти та бібліографії по об'єктах дослідження та аргументувати інформацію прийнятих рішень, нести відповідальність за них у стандартних і нестандартних професійних ситуаціях</w:t>
            </w:r>
          </w:p>
        </w:tc>
      </w:tr>
      <w:tr w:rsidR="00B71859" w:rsidRPr="008655EC" w:rsidTr="00B71859">
        <w:tc>
          <w:tcPr>
            <w:tcW w:w="435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4565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</w:tbl>
    <w:bookmarkEnd w:id="3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9137D6" w:rsidRPr="009137D6">
        <w:rPr>
          <w:sz w:val="28"/>
          <w:szCs w:val="28"/>
        </w:rPr>
        <w:t>Формування у студентів уявлення про державне регулювання транспортної діяльності, застосуванні ліцензування та сертифікації, процедури отримання ліцензії, здійснення транспортного контролю, функції органів державної виконавчої влади в сфері транспорту.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B01134">
        <w:trPr>
          <w:tblHeader/>
        </w:trPr>
        <w:tc>
          <w:tcPr>
            <w:tcW w:w="493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2B259E" w:rsidRPr="00E31962" w:rsidTr="005B5C31">
        <w:trPr>
          <w:trHeight w:val="423"/>
        </w:trPr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bookmarkStart w:id="6" w:name="_Hlk498188405"/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аналізувати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6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6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знання найпростіших методик автотехнічної та автотоварознавчої експертизи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8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8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знання порядку та процедури ліцензування та сертифікації на автомобільному транспорті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9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9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методи та засоби діагностування основних агрегатів, вузлів та систем автомобіля та контролювати відповідності їх технічного стану до вимог безпеки та екологічної безпеки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 xml:space="preserve">оцінювати вплив на рівень потенційної безпеки руху </w:t>
            </w:r>
            <w:r w:rsidRPr="00EA37FF">
              <w:rPr>
                <w:color w:val="000000"/>
                <w:shd w:val="clear" w:color="auto" w:fill="FFFFFF"/>
              </w:rPr>
              <w:lastRenderedPageBreak/>
              <w:t>параметрів дорожніх умов та характеристик транспортних потоків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lastRenderedPageBreak/>
              <w:t>ВК1.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підготовлювати звіти та бібліографії по об'єктах дослідження та аргументувати інформацію прийнятих рішень, нести відповідальність за них у стандартних і нестандартних професійних ситуаціях</w:t>
            </w:r>
          </w:p>
        </w:tc>
      </w:tr>
      <w:tr w:rsidR="002B259E" w:rsidRPr="00E31962" w:rsidTr="005B5C31">
        <w:tc>
          <w:tcPr>
            <w:tcW w:w="493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770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3737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</w:tbl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118C7">
        <w:rPr>
          <w:rFonts w:ascii="Times New Roman" w:hAnsi="Times New Roman"/>
          <w:b/>
          <w:bCs/>
          <w:color w:val="000000"/>
          <w:sz w:val="28"/>
          <w:szCs w:val="28"/>
        </w:rPr>
        <w:t>БАЗОВА</w:t>
      </w:r>
      <w:r w:rsidR="003118C7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ДИСЦИПЛІН</w:t>
      </w:r>
      <w:bookmarkEnd w:id="7"/>
      <w:r w:rsidR="002B259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2B259E" w:rsidRPr="00E31962" w:rsidTr="002B259E">
        <w:trPr>
          <w:trHeight w:val="1180"/>
        </w:trPr>
        <w:tc>
          <w:tcPr>
            <w:tcW w:w="1837" w:type="pct"/>
          </w:tcPr>
          <w:p w:rsidR="002B259E" w:rsidRPr="002B259E" w:rsidRDefault="003118C7" w:rsidP="00F743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1.11</w:t>
            </w:r>
            <w:r w:rsidR="002B259E" w:rsidRPr="002B259E">
              <w:rPr>
                <w:color w:val="000000"/>
                <w:shd w:val="clear" w:color="auto" w:fill="FFFFFF"/>
              </w:rPr>
              <w:t xml:space="preserve"> </w:t>
            </w:r>
            <w:r w:rsidRPr="00E41492">
              <w:rPr>
                <w:rFonts w:hint="eastAsia"/>
              </w:rPr>
              <w:t>Технологічні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процеси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на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автомобільному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транспорті</w:t>
            </w:r>
          </w:p>
        </w:tc>
        <w:tc>
          <w:tcPr>
            <w:tcW w:w="3163" w:type="pct"/>
          </w:tcPr>
          <w:p w:rsidR="003118C7" w:rsidRPr="00A3291E" w:rsidRDefault="003118C7" w:rsidP="003118C7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A3291E">
              <w:rPr>
                <w:color w:val="000000"/>
                <w:shd w:val="clear" w:color="auto" w:fill="FFFFFF"/>
              </w:rPr>
              <w:t>Здійснювати експертизу технічної документації, нагляд і контроль стану і експлуатації рухомого складу, об'єктів транспортної інфраструктури, виявляти резерви, встановлювати причини недоліків в роботі, вживати заходів щодо їх усунення та підвищення ефективності використання.</w:t>
            </w:r>
          </w:p>
          <w:p w:rsidR="003118C7" w:rsidRDefault="003118C7" w:rsidP="003118C7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A3291E">
              <w:rPr>
                <w:color w:val="000000"/>
                <w:shd w:val="clear" w:color="auto" w:fill="FFFFFF"/>
              </w:rPr>
              <w:t>Кооперуватися з колегами по роботі в колективі; знаходити шляхи вдосконалення документообігу в сфері планування і управління оперативною діяльністю транспортної організації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2B259E" w:rsidRPr="002B259E" w:rsidRDefault="003118C7" w:rsidP="003118C7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2B259E">
              <w:rPr>
                <w:color w:val="000000"/>
                <w:shd w:val="clear" w:color="auto" w:fill="FFFFFF"/>
              </w:rPr>
              <w:t>Уявл</w:t>
            </w:r>
            <w:r>
              <w:rPr>
                <w:color w:val="000000"/>
                <w:shd w:val="clear" w:color="auto" w:fill="FFFFFF"/>
              </w:rPr>
              <w:t>ять</w:t>
            </w:r>
            <w:r w:rsidRPr="002B259E">
              <w:rPr>
                <w:color w:val="000000"/>
                <w:shd w:val="clear" w:color="auto" w:fill="FFFFFF"/>
              </w:rPr>
              <w:t xml:space="preserve"> про державне регулювання транспортної діяльності, застосуванн</w:t>
            </w:r>
            <w:r>
              <w:rPr>
                <w:color w:val="000000"/>
                <w:shd w:val="clear" w:color="auto" w:fill="FFFFFF"/>
              </w:rPr>
              <w:t>я</w:t>
            </w:r>
            <w:r w:rsidRPr="002B259E">
              <w:rPr>
                <w:color w:val="000000"/>
                <w:shd w:val="clear" w:color="auto" w:fill="FFFFFF"/>
              </w:rPr>
              <w:t xml:space="preserve"> ліцензу</w:t>
            </w:r>
            <w:r>
              <w:rPr>
                <w:color w:val="000000"/>
                <w:shd w:val="clear" w:color="auto" w:fill="FFFFFF"/>
              </w:rPr>
              <w:t>вання та сертифікації, процедур</w:t>
            </w:r>
            <w:r w:rsidRPr="002B259E">
              <w:rPr>
                <w:color w:val="000000"/>
                <w:shd w:val="clear" w:color="auto" w:fill="FFFFFF"/>
              </w:rPr>
              <w:t xml:space="preserve"> отримання ліцензії, зді</w:t>
            </w:r>
            <w:r>
              <w:rPr>
                <w:color w:val="000000"/>
                <w:shd w:val="clear" w:color="auto" w:fill="FFFFFF"/>
              </w:rPr>
              <w:t>йснення транспортного контролю.</w:t>
            </w:r>
          </w:p>
        </w:tc>
      </w:tr>
    </w:tbl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9651" w:type="dxa"/>
        <w:tblLook w:val="04A0" w:firstRow="1" w:lastRow="0" w:firstColumn="1" w:lastColumn="0" w:noHBand="0" w:noVBand="1"/>
      </w:tblPr>
      <w:tblGrid>
        <w:gridCol w:w="1975"/>
        <w:gridCol w:w="482"/>
        <w:gridCol w:w="1149"/>
        <w:gridCol w:w="1249"/>
        <w:gridCol w:w="1149"/>
        <w:gridCol w:w="1249"/>
        <w:gridCol w:w="1149"/>
        <w:gridCol w:w="1249"/>
      </w:tblGrid>
      <w:tr w:rsidR="00B74EFF" w:rsidRPr="00B74EFF" w:rsidTr="00B74EFF">
        <w:trPr>
          <w:trHeight w:val="3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bookmarkStart w:id="11" w:name="_Toc534664489"/>
            <w:r w:rsidRPr="00B74EFF">
              <w:rPr>
                <w:b/>
                <w:bCs/>
                <w:color w:val="000000"/>
                <w:sz w:val="22"/>
              </w:rPr>
              <w:t>Вид навчальних занять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Обсяг</w:t>
            </w:r>
            <w:r w:rsidRPr="00B74EFF">
              <w:rPr>
                <w:color w:val="000000"/>
                <w:sz w:val="22"/>
              </w:rPr>
              <w:t xml:space="preserve">, </w:t>
            </w:r>
            <w:r w:rsidRPr="00B74EFF">
              <w:rPr>
                <w:i/>
                <w:iCs/>
                <w:color w:val="000000"/>
                <w:sz w:val="22"/>
              </w:rPr>
              <w:t>години</w:t>
            </w:r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Розподіл за формами навчання</w:t>
            </w:r>
            <w:r w:rsidRPr="00B74EFF">
              <w:rPr>
                <w:i/>
                <w:iCs/>
                <w:color w:val="000000"/>
                <w:sz w:val="22"/>
              </w:rPr>
              <w:t>, години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денна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вечірня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заочна</w:t>
            </w:r>
          </w:p>
        </w:tc>
      </w:tr>
      <w:tr w:rsidR="00B74EFF" w:rsidRPr="00B74EFF" w:rsidTr="00B74EFF">
        <w:trPr>
          <w:trHeight w:val="9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лекційні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63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практичні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21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лабораторні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семінари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right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РАЗОМ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84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521F0B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521F0B">
        <w:trPr>
          <w:trHeight w:val="365"/>
        </w:trPr>
        <w:tc>
          <w:tcPr>
            <w:tcW w:w="690" w:type="pct"/>
          </w:tcPr>
          <w:p w:rsidR="00680664" w:rsidRPr="00E31962" w:rsidRDefault="00680664" w:rsidP="001508A1"/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521F0B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680664" w:rsidRPr="00E31962" w:rsidTr="00521F0B">
        <w:trPr>
          <w:trHeight w:val="171"/>
        </w:trPr>
        <w:tc>
          <w:tcPr>
            <w:tcW w:w="690" w:type="pct"/>
            <w:vMerge w:val="restart"/>
          </w:tcPr>
          <w:p w:rsidR="00680664" w:rsidRPr="00E31962" w:rsidRDefault="00680664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680664" w:rsidRPr="00221854" w:rsidRDefault="00221854" w:rsidP="009D63FD">
            <w:pPr>
              <w:rPr>
                <w:b/>
                <w:lang w:val="ru-RU"/>
              </w:rPr>
            </w:pPr>
            <w:r w:rsidRPr="00B4543E">
              <w:rPr>
                <w:b/>
                <w:bCs/>
                <w:color w:val="000000"/>
                <w:sz w:val="22"/>
                <w:szCs w:val="28"/>
              </w:rPr>
              <w:t>Тема 1.</w:t>
            </w:r>
            <w:r w:rsidRPr="00B4543E">
              <w:rPr>
                <w:color w:val="000000"/>
                <w:sz w:val="22"/>
                <w:szCs w:val="28"/>
              </w:rPr>
              <w:t xml:space="preserve"> Мета і задачі курсу, зв'язок з іншими дисциплінами. </w:t>
            </w:r>
          </w:p>
        </w:tc>
        <w:tc>
          <w:tcPr>
            <w:tcW w:w="788" w:type="pct"/>
            <w:vMerge w:val="restart"/>
          </w:tcPr>
          <w:p w:rsidR="00680664" w:rsidRPr="00984C5D" w:rsidRDefault="00521F0B" w:rsidP="001508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680664" w:rsidRPr="00E31962" w:rsidTr="00521F0B">
        <w:trPr>
          <w:trHeight w:val="276"/>
        </w:trPr>
        <w:tc>
          <w:tcPr>
            <w:tcW w:w="690" w:type="pct"/>
            <w:vMerge/>
          </w:tcPr>
          <w:p w:rsidR="00680664" w:rsidRPr="00E31962" w:rsidRDefault="00680664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680664" w:rsidRPr="00E31962" w:rsidRDefault="009D63FD" w:rsidP="001508A1">
            <w:r w:rsidRPr="00B4543E">
              <w:rPr>
                <w:color w:val="000000"/>
                <w:sz w:val="22"/>
                <w:szCs w:val="28"/>
              </w:rPr>
              <w:t>Зведення про розвиток Сертифікації на автотранспорті.</w:t>
            </w:r>
          </w:p>
        </w:tc>
        <w:tc>
          <w:tcPr>
            <w:tcW w:w="788" w:type="pct"/>
            <w:vMerge/>
            <w:vAlign w:val="center"/>
          </w:tcPr>
          <w:p w:rsidR="00680664" w:rsidRPr="00984C5D" w:rsidRDefault="00680664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1508A1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2</w:t>
            </w:r>
            <w:r w:rsidRPr="00B4543E">
              <w:rPr>
                <w:color w:val="000000"/>
                <w:sz w:val="22"/>
                <w:szCs w:val="28"/>
              </w:rPr>
              <w:t>. Основні поняття сертифікації на автотранспорті..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1508A1">
            <w:r w:rsidRPr="00B4543E">
              <w:rPr>
                <w:color w:val="000000"/>
                <w:sz w:val="22"/>
                <w:szCs w:val="28"/>
              </w:rPr>
              <w:t>Система сертифікації на автомобільному транспорті.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508A1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9D63FD" w:rsidRPr="00E31962" w:rsidRDefault="009D63FD" w:rsidP="001508A1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3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Основні напрями розвитку сертифікації на автомобільному транспорті.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508A1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142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color w:val="000000"/>
                <w:sz w:val="22"/>
                <w:szCs w:val="28"/>
              </w:rPr>
              <w:t>Методика оцінки процесу надання послуг з перевезення пасажирів автомобільним транспортом.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B235DC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 w:val="restart"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pPr>
              <w:rPr>
                <w:b/>
              </w:rPr>
            </w:pPr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4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Порядок сертифікації послуг з технічного обслуговування та ремонту автотранспортних засобів.</w:t>
            </w:r>
          </w:p>
        </w:tc>
        <w:tc>
          <w:tcPr>
            <w:tcW w:w="788" w:type="pct"/>
            <w:vMerge w:val="restart"/>
          </w:tcPr>
          <w:p w:rsidR="009D63FD" w:rsidRPr="00984C5D" w:rsidRDefault="007F0ACE" w:rsidP="00B23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color w:val="000000"/>
                <w:sz w:val="22"/>
                <w:szCs w:val="28"/>
              </w:rPr>
              <w:t xml:space="preserve">Вимоги до результатів дослідження </w:t>
            </w:r>
            <w:r w:rsidR="00012CB7" w:rsidRPr="00B4543E">
              <w:rPr>
                <w:color w:val="000000"/>
                <w:sz w:val="22"/>
                <w:szCs w:val="28"/>
              </w:rPr>
              <w:t>автотранспортного</w:t>
            </w:r>
            <w:r w:rsidRPr="00B4543E">
              <w:rPr>
                <w:color w:val="000000"/>
                <w:sz w:val="22"/>
                <w:szCs w:val="28"/>
              </w:rPr>
              <w:t xml:space="preserve"> засобу та його елементів.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5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Класифікація та система позначення автотранспортних засобів.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color w:val="000000"/>
                <w:sz w:val="22"/>
                <w:szCs w:val="28"/>
              </w:rPr>
              <w:t>Оцінка процесу надання послуг з перевезення пасажирів автомобільним транспортом.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B235DC">
            <w:r w:rsidRPr="00B4543E">
              <w:rPr>
                <w:b/>
                <w:bCs/>
                <w:color w:val="000000"/>
                <w:sz w:val="22"/>
                <w:szCs w:val="28"/>
              </w:rPr>
              <w:t>Тема</w:t>
            </w:r>
            <w:r w:rsidRPr="00B4543E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8"/>
              </w:rPr>
              <w:t>6</w:t>
            </w:r>
            <w:r w:rsidRPr="00B4543E">
              <w:rPr>
                <w:b/>
                <w:bCs/>
                <w:color w:val="000000"/>
                <w:sz w:val="22"/>
                <w:szCs w:val="28"/>
              </w:rPr>
              <w:t>.</w:t>
            </w:r>
            <w:r w:rsidRPr="00B4543E">
              <w:rPr>
                <w:color w:val="000000"/>
                <w:sz w:val="22"/>
                <w:szCs w:val="28"/>
              </w:rPr>
              <w:t xml:space="preserve"> Ліцензування на автомобільному транспорті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B235DC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521F0B" w:rsidRDefault="009D63FD" w:rsidP="00B235DC">
            <w:pPr>
              <w:rPr>
                <w:color w:val="000000"/>
                <w:sz w:val="22"/>
                <w:szCs w:val="28"/>
              </w:rPr>
            </w:pPr>
            <w:r w:rsidRPr="009D63FD">
              <w:rPr>
                <w:color w:val="000000"/>
                <w:sz w:val="22"/>
                <w:szCs w:val="28"/>
              </w:rPr>
              <w:t xml:space="preserve">Процес ліцензування на автомобільному транспорті, </w:t>
            </w:r>
            <w:r w:rsidR="00012CB7" w:rsidRPr="009D63FD">
              <w:rPr>
                <w:color w:val="000000"/>
                <w:sz w:val="22"/>
                <w:szCs w:val="28"/>
              </w:rPr>
              <w:t>основні</w:t>
            </w:r>
            <w:r w:rsidRPr="009D63FD">
              <w:rPr>
                <w:color w:val="000000"/>
                <w:sz w:val="22"/>
                <w:szCs w:val="28"/>
              </w:rPr>
              <w:t xml:space="preserve"> етапи проходження документації</w:t>
            </w:r>
            <w:r w:rsidR="00521F0B">
              <w:rPr>
                <w:color w:val="000000"/>
                <w:sz w:val="22"/>
                <w:szCs w:val="28"/>
              </w:rPr>
              <w:t>.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20"/>
        </w:trPr>
        <w:tc>
          <w:tcPr>
            <w:tcW w:w="690" w:type="pct"/>
            <w:vMerge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521F0B" w:rsidP="00B235DC">
            <w:pPr>
              <w:rPr>
                <w:color w:val="000000"/>
                <w:sz w:val="22"/>
                <w:szCs w:val="28"/>
              </w:rPr>
            </w:pPr>
            <w:r w:rsidRPr="00521F0B">
              <w:rPr>
                <w:color w:val="000000"/>
                <w:sz w:val="22"/>
                <w:szCs w:val="28"/>
              </w:rPr>
              <w:t>Міжнародні  перевезення.</w:t>
            </w:r>
          </w:p>
        </w:tc>
        <w:tc>
          <w:tcPr>
            <w:tcW w:w="788" w:type="pct"/>
            <w:vMerge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137"/>
        </w:trPr>
        <w:tc>
          <w:tcPr>
            <w:tcW w:w="690" w:type="pct"/>
            <w:vMerge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521F0B" w:rsidP="00B235DC">
            <w:pPr>
              <w:rPr>
                <w:color w:val="000000"/>
                <w:sz w:val="22"/>
                <w:szCs w:val="28"/>
              </w:rPr>
            </w:pPr>
            <w:r w:rsidRPr="00521F0B">
              <w:rPr>
                <w:color w:val="000000"/>
                <w:sz w:val="22"/>
                <w:szCs w:val="28"/>
              </w:rPr>
              <w:t xml:space="preserve">Види сертифікатів. </w:t>
            </w:r>
          </w:p>
        </w:tc>
        <w:tc>
          <w:tcPr>
            <w:tcW w:w="788" w:type="pct"/>
            <w:vMerge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137"/>
        </w:trPr>
        <w:tc>
          <w:tcPr>
            <w:tcW w:w="690" w:type="pct"/>
          </w:tcPr>
          <w:p w:rsidR="00521F0B" w:rsidRPr="00E31962" w:rsidRDefault="00521F0B" w:rsidP="00B235DC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521F0B" w:rsidRDefault="00521F0B" w:rsidP="00B235DC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521F0B" w:rsidRPr="00E31962" w:rsidRDefault="00521F0B" w:rsidP="00B235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  <w:tr w:rsidR="00521F0B" w:rsidRPr="00E31962" w:rsidTr="00521F0B">
        <w:trPr>
          <w:trHeight w:val="556"/>
        </w:trPr>
        <w:tc>
          <w:tcPr>
            <w:tcW w:w="690" w:type="pct"/>
          </w:tcPr>
          <w:p w:rsidR="00521F0B" w:rsidRPr="00E31962" w:rsidRDefault="00521F0B" w:rsidP="00521F0B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E31962" w:rsidRDefault="00521F0B" w:rsidP="00521F0B">
            <w:r w:rsidRPr="00E31962">
              <w:rPr>
                <w:b/>
                <w:bCs/>
              </w:rPr>
              <w:t xml:space="preserve">1  Розробка </w:t>
            </w:r>
            <w:r>
              <w:rPr>
                <w:b/>
                <w:bCs/>
              </w:rPr>
              <w:t xml:space="preserve">прикладів </w:t>
            </w:r>
            <w:r w:rsidRPr="00E31962">
              <w:rPr>
                <w:b/>
                <w:bCs/>
              </w:rPr>
              <w:t xml:space="preserve">нормативних документів з </w:t>
            </w:r>
            <w:r w:rsidRPr="009D63FD">
              <w:rPr>
                <w:b/>
                <w:bCs/>
              </w:rPr>
              <w:t>сертифікаці</w:t>
            </w:r>
            <w:r>
              <w:rPr>
                <w:b/>
                <w:bCs/>
              </w:rPr>
              <w:t>ї</w:t>
            </w:r>
            <w:r w:rsidRPr="009D63FD">
              <w:rPr>
                <w:b/>
                <w:bCs/>
              </w:rPr>
              <w:t xml:space="preserve"> та ліцензування автомобільно</w:t>
            </w:r>
            <w:r>
              <w:rPr>
                <w:b/>
                <w:bCs/>
              </w:rPr>
              <w:t>го</w:t>
            </w:r>
            <w:r w:rsidRPr="009D63FD">
              <w:rPr>
                <w:b/>
                <w:bCs/>
              </w:rPr>
              <w:t xml:space="preserve"> транспорт</w:t>
            </w:r>
            <w:r>
              <w:rPr>
                <w:b/>
                <w:bCs/>
              </w:rPr>
              <w:t>у</w:t>
            </w:r>
          </w:p>
        </w:tc>
        <w:tc>
          <w:tcPr>
            <w:tcW w:w="788" w:type="pct"/>
            <w:vAlign w:val="center"/>
          </w:tcPr>
          <w:p w:rsidR="00521F0B" w:rsidRPr="007F0ACE" w:rsidRDefault="00521F0B" w:rsidP="00521F0B">
            <w:pPr>
              <w:jc w:val="center"/>
              <w:rPr>
                <w:color w:val="000000"/>
              </w:rPr>
            </w:pPr>
            <w:r w:rsidRPr="007F0ACE">
              <w:rPr>
                <w:color w:val="000000"/>
              </w:rPr>
              <w:t>24</w:t>
            </w:r>
          </w:p>
        </w:tc>
      </w:tr>
      <w:tr w:rsidR="00521F0B" w:rsidRPr="00E31962" w:rsidTr="00521F0B">
        <w:trPr>
          <w:trHeight w:val="124"/>
        </w:trPr>
        <w:tc>
          <w:tcPr>
            <w:tcW w:w="690" w:type="pct"/>
          </w:tcPr>
          <w:p w:rsidR="00521F0B" w:rsidRPr="00E31962" w:rsidRDefault="00521F0B" w:rsidP="00521F0B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E31962" w:rsidRDefault="00521F0B" w:rsidP="00521F0B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521F0B" w:rsidRPr="00E31962" w:rsidRDefault="00521F0B" w:rsidP="00521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8A5A8B" w:rsidRDefault="008A5A8B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680664" w:rsidRPr="00F74369" w:rsidRDefault="00680664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8E26F8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8E26F8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8E26F8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8E26F8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</w:tr>
      <w:tr w:rsidR="006A47EA" w:rsidRPr="00AA0B81" w:rsidTr="008E26F8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8E26F8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8E26F8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8E26F8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8E26F8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8E26F8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8E26F8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8E26F8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8E26F8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</w:tr>
      <w:tr w:rsidR="006A47EA" w:rsidRPr="00AA0B81" w:rsidTr="008E26F8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логічно й зрозуміло інтерпретувати інформацію; </w:t>
            </w:r>
          </w:p>
          <w:p w:rsidR="006A47EA" w:rsidRPr="00AA0B81" w:rsidRDefault="006A47EA" w:rsidP="008E26F8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8E26F8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8E26F8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8E26F8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8E26F8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8E26F8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8E26F8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8E26F8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8E26F8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неточностями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8E26F8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8E26F8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43"/>
            </w:pPr>
            <w:r w:rsidRPr="00AA0B81">
              <w:rPr>
                <w:noProof/>
                <w:lang w:eastAsia="uk-UA"/>
              </w:rPr>
              <w:drawing>
                <wp:inline distT="0" distB="0" distL="0" distR="0" wp14:anchorId="0AFEB218" wp14:editId="6802EB7A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8E26F8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eastAsia="uk-UA"/>
              </w:rPr>
              <w:drawing>
                <wp:inline distT="0" distB="0" distL="0" distR="0" wp14:anchorId="5310A054" wp14:editId="3FE39DC4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8E26F8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8E26F8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8E26F8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відстоюваним положенням;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8E26F8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8E26F8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8E26F8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8E26F8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8E26F8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8E26F8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</w:tr>
      <w:tr w:rsidR="006A47EA" w:rsidRPr="00AA0B81" w:rsidTr="008E26F8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8E26F8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8E26F8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8E26F8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8E26F8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8E26F8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8E26F8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8E26F8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8E26F8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8E26F8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8E26F8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8E26F8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8E26F8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8E26F8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8E26F8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8E26F8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8E26F8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8E26F8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професійно-орієнтовних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загальнонавчальних умінь і навичок; </w:t>
            </w:r>
          </w:p>
          <w:p w:rsidR="006A47EA" w:rsidRPr="00AA0B81" w:rsidRDefault="006A47EA" w:rsidP="008E26F8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8E26F8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8E26F8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8E26F8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8E26F8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8E26F8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9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Миколаєва М.А. Стандартизація, метрологія та підтвердження відповідності: підручник / М.А. Миколаєва, Л.В. Карташова. - М .: ФОРУМ: Инфра-М, 2010. - 355 с.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Арслангулов У.Ю. Перспективи світового транспортного сектора [Електронний ресурс]: навчальний посібник / У.Ю. Арслангулов. - М .: изд. "Енергія", 2009. / ЕБС «Кнігафонд». - Режим доступу: </w:t>
      </w:r>
      <w:hyperlink r:id="rId8" w:history="1">
        <w:r w:rsidRPr="00B74EFF">
          <w:rPr>
            <w:b/>
            <w:bCs/>
            <w:color w:val="000000"/>
            <w:sz w:val="28"/>
          </w:rPr>
          <w:t>http://www.knigafund.ru</w:t>
        </w:r>
      </w:hyperlink>
      <w:r w:rsidRPr="00B74EFF">
        <w:rPr>
          <w:bCs/>
          <w:color w:val="000000"/>
          <w:sz w:val="28"/>
          <w:szCs w:val="28"/>
        </w:rPr>
        <w:t xml:space="preserve">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Лифиц І.М. Стандартизація, метрологія та підтвердження відповідності: підручник для бакалаврів / І.М. Лифиц. - 10-е изд., Перераб. і доп. - М .: Юрайт, 2012. - 393 с. </w:t>
      </w:r>
    </w:p>
    <w:p w:rsidR="00B74EFF" w:rsidRPr="00B74EFF" w:rsidRDefault="00B74EFF" w:rsidP="00B74EFF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Турсіна Е.А. Облік автомобільного транспорту на підприємстві [Електронний ресурс] / Турсіна Е.А.- Електрон. текстові данние.- М .: Московська фінансово-промислова академія, 2011.- 252 c.- Режим доступу: http://www.iprbookshop.ru/1863.- ЕБС «IPRbooks»</w:t>
      </w:r>
    </w:p>
    <w:p w:rsidR="00B74EFF" w:rsidRPr="00B74EFF" w:rsidRDefault="00B74EFF" w:rsidP="00B74EFF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74EFF" w:rsidRPr="00B74EFF" w:rsidRDefault="00B74EFF" w:rsidP="00B74EFF">
      <w:pPr>
        <w:pStyle w:val="9"/>
        <w:tabs>
          <w:tab w:val="left" w:pos="993"/>
        </w:tabs>
        <w:spacing w:before="120" w:after="120"/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</w: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  <w:t>Додаткова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Горфинкель В.Я. Мале підприємництво: організація, управління, економіка: навчальний посібник / ред. В. Я. Горфинкель. - М .: Инфра-М, 2012. - 348 с.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Троїцька А.Н. Єдина транспортна система: підручник / Н. А. Троїцька, А. Б. Цибухів. - 4-е изд., Испр. - М .: Академія, 2008. - 240 с.</w:t>
      </w:r>
    </w:p>
    <w:p w:rsidR="00B74EFF" w:rsidRPr="00B74EFF" w:rsidRDefault="00B74EFF" w:rsidP="00B74EFF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Бачурін А.А. Аналіз виробничо-господарської діяльності автотранспортних організацій: навчальний посібник / А. А. Бачурін; ред. З. І. Аксьонова. - 3-е изд., Стер. - М.: Академія, 2007. - 320 с.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Іформаціонной забезпечення дисципліни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lastRenderedPageBreak/>
        <w:t>ІНФОРМАЦІЙНІ РЕСУРСИ</w:t>
      </w:r>
    </w:p>
    <w:p w:rsidR="00B74EFF" w:rsidRPr="00B74EFF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666E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9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EFF">
          <w:rPr>
            <w:bCs/>
            <w:color w:val="000000"/>
            <w:sz w:val="28"/>
            <w:szCs w:val="28"/>
          </w:rPr>
          <w:t>https://czo.gov.ua/ca-registry-details?type=0&amp;id=60</w:t>
        </w:r>
      </w:hyperlink>
    </w:p>
    <w:p w:rsidR="00B74EFF" w:rsidRPr="00B74EFF" w:rsidRDefault="00666E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1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666E65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2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B74EFF" w:rsidRPr="00AA204B">
        <w:rPr>
          <w:sz w:val="28"/>
          <w:szCs w:val="28"/>
        </w:rPr>
        <w:t>Сертифікація</w:t>
      </w:r>
      <w:r w:rsidR="00B74EFF">
        <w:rPr>
          <w:sz w:val="28"/>
          <w:szCs w:val="28"/>
        </w:rPr>
        <w:t xml:space="preserve"> та ліцензування на автомобільному транспорті</w:t>
      </w:r>
      <w:r w:rsidRPr="006E5ACF">
        <w:rPr>
          <w:b w:val="0"/>
          <w:sz w:val="28"/>
          <w:szCs w:val="28"/>
        </w:rPr>
        <w:t xml:space="preserve">» 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064D43" w:rsidRDefault="00680664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r w:rsidR="009503A9">
        <w:rPr>
          <w:sz w:val="28"/>
          <w:szCs w:val="28"/>
        </w:rPr>
        <w:t>Крівда Віталій Валерійович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Ризографія. Ум. друк.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54" w:rsidRDefault="00221854" w:rsidP="00B95F75">
      <w:r>
        <w:separator/>
      </w:r>
    </w:p>
  </w:endnote>
  <w:endnote w:type="continuationSeparator" w:id="0">
    <w:p w:rsidR="00221854" w:rsidRDefault="00221854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54" w:rsidRDefault="0022185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6E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54" w:rsidRDefault="00221854" w:rsidP="00B95F75">
      <w:r>
        <w:separator/>
      </w:r>
    </w:p>
  </w:footnote>
  <w:footnote w:type="continuationSeparator" w:id="0">
    <w:p w:rsidR="00221854" w:rsidRDefault="00221854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4.25pt;height:62.2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21"/>
  </w:num>
  <w:num w:numId="9">
    <w:abstractNumId w:val="30"/>
  </w:num>
  <w:num w:numId="10">
    <w:abstractNumId w:val="14"/>
  </w:num>
  <w:num w:numId="11">
    <w:abstractNumId w:val="28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43C5"/>
    <w:rsid w:val="0011654A"/>
    <w:rsid w:val="00123446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1854"/>
    <w:rsid w:val="00225B42"/>
    <w:rsid w:val="002304E9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A7741"/>
    <w:rsid w:val="002B0B64"/>
    <w:rsid w:val="002B259E"/>
    <w:rsid w:val="002C06C3"/>
    <w:rsid w:val="002C3269"/>
    <w:rsid w:val="002C5352"/>
    <w:rsid w:val="002D0D9A"/>
    <w:rsid w:val="002D4B16"/>
    <w:rsid w:val="002E652D"/>
    <w:rsid w:val="002F253C"/>
    <w:rsid w:val="00303B86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F0B"/>
    <w:rsid w:val="00524D35"/>
    <w:rsid w:val="0052662F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0D9E"/>
    <w:rsid w:val="006517BA"/>
    <w:rsid w:val="00662F85"/>
    <w:rsid w:val="006634CB"/>
    <w:rsid w:val="0066472E"/>
    <w:rsid w:val="0066569C"/>
    <w:rsid w:val="00666E65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D4B3B"/>
    <w:rsid w:val="007F0ACE"/>
    <w:rsid w:val="007F2D4D"/>
    <w:rsid w:val="0080072C"/>
    <w:rsid w:val="008040FF"/>
    <w:rsid w:val="0080545A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4E00"/>
    <w:rsid w:val="009D63FD"/>
    <w:rsid w:val="009E223A"/>
    <w:rsid w:val="009E3CB6"/>
    <w:rsid w:val="009F28BE"/>
    <w:rsid w:val="009F78E1"/>
    <w:rsid w:val="00A00D2C"/>
    <w:rsid w:val="00A02E43"/>
    <w:rsid w:val="00A1575D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204B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518EA"/>
    <w:rsid w:val="00B528F1"/>
    <w:rsid w:val="00B71859"/>
    <w:rsid w:val="00B745EE"/>
    <w:rsid w:val="00B74EFF"/>
    <w:rsid w:val="00B77D7B"/>
    <w:rsid w:val="00B84D85"/>
    <w:rsid w:val="00B901E6"/>
    <w:rsid w:val="00B92F53"/>
    <w:rsid w:val="00B95F75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A7C0F"/>
    <w:rsid w:val="00FB2944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35FEB3F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ukrcert.com/script/index_o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key.com.ua/ua/setificate-one-office/text=3&amp;page=1?lang=u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zo.gov.ua/ca-registry-details?type=0&amp;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key.com.u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15226</Words>
  <Characters>8680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ААГ</cp:lastModifiedBy>
  <cp:revision>22</cp:revision>
  <cp:lastPrinted>2019-03-12T07:59:00Z</cp:lastPrinted>
  <dcterms:created xsi:type="dcterms:W3CDTF">2019-02-11T08:29:00Z</dcterms:created>
  <dcterms:modified xsi:type="dcterms:W3CDTF">2019-03-12T08:00:00Z</dcterms:modified>
</cp:coreProperties>
</file>